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540" w:type="dxa"/>
        <w:tblInd w:w="26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720"/>
        <w:gridCol w:w="800"/>
        <w:gridCol w:w="1170"/>
        <w:gridCol w:w="1630"/>
        <w:gridCol w:w="3420"/>
        <w:gridCol w:w="800"/>
      </w:tblGrid>
      <w:tr w:rsidR="00846091" w:rsidRPr="00C104DA" w:rsidTr="00C104DA">
        <w:trPr>
          <w:trHeight w:val="332"/>
        </w:trPr>
        <w:tc>
          <w:tcPr>
            <w:tcW w:w="17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jc w:val="center"/>
              <w:rPr>
                <w:rFonts w:asciiTheme="minorHAnsi" w:eastAsia="Merriweather" w:hAnsiTheme="minorHAnsi" w:cstheme="minorHAnsi"/>
                <w:b/>
              </w:rPr>
            </w:pPr>
            <w:r w:rsidRPr="00C104DA">
              <w:rPr>
                <w:rFonts w:asciiTheme="minorHAnsi" w:eastAsia="Merriweather" w:hAnsiTheme="minorHAnsi" w:cstheme="minorHAnsi"/>
                <w:b/>
              </w:rPr>
              <w:t>Course title</w:t>
            </w:r>
          </w:p>
        </w:tc>
        <w:tc>
          <w:tcPr>
            <w:tcW w:w="80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jc w:val="center"/>
              <w:rPr>
                <w:rFonts w:asciiTheme="minorHAnsi" w:eastAsia="Merriweather" w:hAnsiTheme="minorHAnsi" w:cstheme="minorHAnsi"/>
                <w:b/>
              </w:rPr>
            </w:pPr>
            <w:r w:rsidRPr="00C104DA">
              <w:rPr>
                <w:rFonts w:asciiTheme="minorHAnsi" w:eastAsia="Merriweather" w:hAnsiTheme="minorHAnsi" w:cstheme="minorHAnsi"/>
                <w:b/>
              </w:rPr>
              <w:t>Code</w:t>
            </w:r>
          </w:p>
        </w:tc>
        <w:tc>
          <w:tcPr>
            <w:tcW w:w="117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jc w:val="center"/>
              <w:rPr>
                <w:rFonts w:asciiTheme="minorHAnsi" w:eastAsia="Merriweather" w:hAnsiTheme="minorHAnsi" w:cstheme="minorHAnsi"/>
                <w:b/>
              </w:rPr>
            </w:pPr>
            <w:r w:rsidRPr="00C104DA">
              <w:rPr>
                <w:rFonts w:asciiTheme="minorHAnsi" w:eastAsia="Merriweather" w:hAnsiTheme="minorHAnsi" w:cstheme="minorHAnsi"/>
                <w:b/>
              </w:rPr>
              <w:t>Semester</w:t>
            </w:r>
          </w:p>
        </w:tc>
        <w:tc>
          <w:tcPr>
            <w:tcW w:w="163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jc w:val="center"/>
              <w:rPr>
                <w:rFonts w:asciiTheme="minorHAnsi" w:eastAsia="Merriweather" w:hAnsiTheme="minorHAnsi" w:cstheme="minorHAnsi"/>
                <w:b/>
              </w:rPr>
            </w:pPr>
            <w:r w:rsidRPr="00C104DA">
              <w:rPr>
                <w:rFonts w:asciiTheme="minorHAnsi" w:eastAsia="Merriweather" w:hAnsiTheme="minorHAnsi" w:cstheme="minorHAnsi"/>
                <w:b/>
              </w:rPr>
              <w:t>Type of course</w:t>
            </w:r>
          </w:p>
        </w:tc>
        <w:tc>
          <w:tcPr>
            <w:tcW w:w="34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rsidP="00220260">
            <w:pPr>
              <w:spacing w:after="0"/>
              <w:jc w:val="center"/>
              <w:rPr>
                <w:rFonts w:asciiTheme="minorHAnsi" w:eastAsia="Merriweather" w:hAnsiTheme="minorHAnsi" w:cstheme="minorHAnsi"/>
                <w:b/>
              </w:rPr>
            </w:pPr>
            <w:r w:rsidRPr="00C104DA">
              <w:rPr>
                <w:rFonts w:asciiTheme="minorHAnsi" w:eastAsia="Merriweather" w:hAnsiTheme="minorHAnsi" w:cstheme="minorHAnsi"/>
                <w:b/>
              </w:rPr>
              <w:t>Course volume  (</w:t>
            </w:r>
            <w:r w:rsidR="00220260">
              <w:rPr>
                <w:rFonts w:asciiTheme="minorHAnsi" w:eastAsia="Merriweather" w:hAnsiTheme="minorHAnsi" w:cstheme="minorHAnsi"/>
                <w:b/>
              </w:rPr>
              <w:t xml:space="preserve">Contact </w:t>
            </w:r>
            <w:r w:rsidRPr="00C104DA">
              <w:rPr>
                <w:rFonts w:asciiTheme="minorHAnsi" w:eastAsia="Merriweather" w:hAnsiTheme="minorHAnsi" w:cstheme="minorHAnsi"/>
                <w:b/>
              </w:rPr>
              <w:t>hours)</w:t>
            </w:r>
          </w:p>
        </w:tc>
        <w:tc>
          <w:tcPr>
            <w:tcW w:w="80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jc w:val="center"/>
              <w:rPr>
                <w:rFonts w:asciiTheme="minorHAnsi" w:eastAsia="Merriweather" w:hAnsiTheme="minorHAnsi" w:cstheme="minorHAnsi"/>
                <w:b/>
              </w:rPr>
            </w:pPr>
            <w:r w:rsidRPr="00C104DA">
              <w:rPr>
                <w:rFonts w:asciiTheme="minorHAnsi" w:eastAsia="Merriweather" w:hAnsiTheme="minorHAnsi" w:cstheme="minorHAnsi"/>
                <w:b/>
              </w:rPr>
              <w:t>ECTS</w:t>
            </w:r>
          </w:p>
        </w:tc>
      </w:tr>
      <w:tr w:rsidR="00220260" w:rsidRPr="00C104DA" w:rsidTr="00A721BA">
        <w:trPr>
          <w:trHeight w:val="197"/>
        </w:trPr>
        <w:tc>
          <w:tcPr>
            <w:tcW w:w="172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C104DA" w:rsidRDefault="004A52C0" w:rsidP="00930EBC">
            <w:pPr>
              <w:spacing w:after="0"/>
              <w:jc w:val="center"/>
              <w:rPr>
                <w:rFonts w:asciiTheme="minorHAnsi" w:eastAsia="Merriweather" w:hAnsiTheme="minorHAnsi" w:cstheme="minorHAnsi"/>
                <w:b/>
              </w:rPr>
            </w:pPr>
            <w:r w:rsidRPr="00882397">
              <w:rPr>
                <w:rFonts w:ascii="Sylfaen" w:eastAsia="Times New Roman" w:hAnsi="Sylfaen" w:cs="Arial"/>
                <w:b/>
                <w:bCs/>
                <w:sz w:val="20"/>
                <w:szCs w:val="20"/>
                <w:lang w:eastAsia="tr-TR"/>
              </w:rPr>
              <w:t>Medical Genetics II</w:t>
            </w:r>
          </w:p>
        </w:tc>
        <w:tc>
          <w:tcPr>
            <w:tcW w:w="80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Default="00220260" w:rsidP="00930EBC">
            <w:pPr>
              <w:spacing w:after="0"/>
              <w:jc w:val="center"/>
              <w:rPr>
                <w:rFonts w:ascii="Merriweather" w:eastAsia="Merriweather" w:hAnsi="Merriweather" w:cs="Merriweather"/>
                <w:b/>
                <w:sz w:val="20"/>
                <w:szCs w:val="20"/>
              </w:rPr>
            </w:pPr>
            <w:r>
              <w:rPr>
                <w:rFonts w:ascii="Merriweather" w:eastAsia="Merriweather" w:hAnsi="Merriweather" w:cs="Merriweather"/>
                <w:b/>
                <w:sz w:val="20"/>
                <w:szCs w:val="20"/>
              </w:rPr>
              <w:t>MED</w:t>
            </w:r>
          </w:p>
          <w:p w:rsidR="00220260" w:rsidRDefault="004A52C0" w:rsidP="00930EBC">
            <w:pPr>
              <w:spacing w:after="0"/>
              <w:jc w:val="center"/>
              <w:rPr>
                <w:rFonts w:ascii="Merriweather" w:eastAsia="Merriweather" w:hAnsi="Merriweather" w:cs="Merriweather"/>
                <w:b/>
                <w:sz w:val="20"/>
                <w:szCs w:val="20"/>
              </w:rPr>
            </w:pPr>
            <w:r w:rsidRPr="00882397">
              <w:rPr>
                <w:rFonts w:ascii="Sylfaen" w:eastAsia="Times New Roman" w:hAnsi="Sylfaen" w:cs="Arial"/>
                <w:b/>
                <w:bCs/>
                <w:sz w:val="20"/>
                <w:szCs w:val="20"/>
                <w:lang w:val="ka-GE" w:eastAsia="tr-TR"/>
              </w:rPr>
              <w:t>201</w:t>
            </w:r>
            <w:r w:rsidRPr="00882397">
              <w:rPr>
                <w:rFonts w:ascii="Sylfaen" w:eastAsia="Times New Roman" w:hAnsi="Sylfaen" w:cs="Arial"/>
                <w:b/>
                <w:bCs/>
                <w:sz w:val="20"/>
                <w:szCs w:val="20"/>
                <w:lang w:eastAsia="tr-TR"/>
              </w:rPr>
              <w:t>2</w:t>
            </w:r>
          </w:p>
        </w:tc>
        <w:tc>
          <w:tcPr>
            <w:tcW w:w="117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Default="004A52C0" w:rsidP="00930EBC">
            <w:pPr>
              <w:spacing w:after="0"/>
              <w:jc w:val="center"/>
              <w:rPr>
                <w:rFonts w:ascii="Merriweather" w:eastAsia="Merriweather" w:hAnsi="Merriweather" w:cs="Merriweather"/>
                <w:b/>
                <w:sz w:val="20"/>
                <w:szCs w:val="20"/>
              </w:rPr>
            </w:pPr>
            <w:r w:rsidRPr="00882397">
              <w:rPr>
                <w:rFonts w:ascii="Sylfaen" w:eastAsia="Times New Roman" w:hAnsi="Sylfaen" w:cs="Arial"/>
                <w:b/>
                <w:bCs/>
                <w:sz w:val="20"/>
                <w:szCs w:val="20"/>
                <w:lang w:eastAsia="tr-TR"/>
              </w:rPr>
              <w:t>IV</w:t>
            </w:r>
          </w:p>
        </w:tc>
        <w:tc>
          <w:tcPr>
            <w:tcW w:w="163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220260" w:rsidRDefault="00220260" w:rsidP="00930EBC">
            <w:pPr>
              <w:spacing w:after="0"/>
              <w:jc w:val="center"/>
              <w:rPr>
                <w:rFonts w:ascii="Sylfaen" w:eastAsia="Merriweather" w:hAnsi="Sylfaen" w:cs="Merriweather"/>
                <w:b/>
                <w:sz w:val="20"/>
                <w:szCs w:val="20"/>
              </w:rPr>
            </w:pPr>
            <w:r>
              <w:rPr>
                <w:rFonts w:ascii="Sylfaen" w:eastAsia="Merriweather" w:hAnsi="Sylfaen" w:cs="Merriweather"/>
                <w:b/>
                <w:sz w:val="20"/>
                <w:szCs w:val="20"/>
              </w:rPr>
              <w:t>Mandatory</w:t>
            </w:r>
          </w:p>
        </w:tc>
        <w:tc>
          <w:tcPr>
            <w:tcW w:w="34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EF5452" w:rsidRDefault="00096CED" w:rsidP="00096CED">
            <w:pPr>
              <w:pBdr>
                <w:top w:val="nil"/>
                <w:left w:val="nil"/>
                <w:bottom w:val="nil"/>
                <w:right w:val="nil"/>
                <w:between w:val="nil"/>
              </w:pBdr>
              <w:spacing w:after="0" w:line="240" w:lineRule="auto"/>
              <w:jc w:val="center"/>
              <w:rPr>
                <w:rFonts w:asciiTheme="minorHAnsi" w:eastAsia="Merriweather" w:hAnsiTheme="minorHAnsi" w:cstheme="minorHAnsi"/>
                <w:b/>
                <w:color w:val="000000"/>
              </w:rPr>
            </w:pPr>
            <w:r w:rsidRPr="00EF5452">
              <w:rPr>
                <w:rFonts w:asciiTheme="minorHAnsi" w:eastAsia="Merriweather" w:hAnsiTheme="minorHAnsi" w:cstheme="minorHAnsi"/>
                <w:b/>
                <w:color w:val="000000"/>
              </w:rPr>
              <w:t>28</w:t>
            </w:r>
          </w:p>
        </w:tc>
        <w:tc>
          <w:tcPr>
            <w:tcW w:w="80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C104DA" w:rsidRDefault="008A45E8" w:rsidP="00930EBC">
            <w:pPr>
              <w:spacing w:after="0"/>
              <w:jc w:val="center"/>
              <w:rPr>
                <w:rFonts w:asciiTheme="minorHAnsi" w:eastAsia="Merriweather" w:hAnsiTheme="minorHAnsi" w:cstheme="minorHAnsi"/>
                <w:b/>
              </w:rPr>
            </w:pPr>
            <w:r>
              <w:rPr>
                <w:rFonts w:asciiTheme="minorHAnsi" w:eastAsia="Merriweather" w:hAnsiTheme="minorHAnsi" w:cstheme="minorHAnsi"/>
                <w:b/>
              </w:rPr>
              <w:t>2</w:t>
            </w:r>
          </w:p>
        </w:tc>
      </w:tr>
      <w:tr w:rsidR="00846091" w:rsidRPr="00C104DA" w:rsidTr="008B13BE">
        <w:trPr>
          <w:trHeight w:val="752"/>
        </w:trPr>
        <w:tc>
          <w:tcPr>
            <w:tcW w:w="17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rPr>
                <w:rFonts w:asciiTheme="minorHAnsi" w:eastAsia="Merriweather" w:hAnsiTheme="minorHAnsi" w:cstheme="minorHAnsi"/>
                <w:b/>
              </w:rPr>
            </w:pPr>
            <w:r w:rsidRPr="00C104DA">
              <w:rPr>
                <w:rFonts w:asciiTheme="minorHAnsi" w:eastAsia="Merriweather" w:hAnsiTheme="minorHAnsi" w:cstheme="minorHAnsi"/>
                <w:b/>
              </w:rPr>
              <w:t>Faculty, the educational program and level of education</w:t>
            </w:r>
          </w:p>
        </w:tc>
        <w:tc>
          <w:tcPr>
            <w:tcW w:w="7820" w:type="dxa"/>
            <w:gridSpan w:val="5"/>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rsidR="00846091" w:rsidRPr="00B503CE" w:rsidRDefault="008302BD" w:rsidP="00B503CE">
            <w:pPr>
              <w:pStyle w:val="ListParagraph"/>
              <w:numPr>
                <w:ilvl w:val="0"/>
                <w:numId w:val="22"/>
              </w:numPr>
              <w:spacing w:after="0"/>
              <w:ind w:left="541"/>
              <w:rPr>
                <w:rFonts w:asciiTheme="minorHAnsi" w:hAnsiTheme="minorHAnsi" w:cstheme="minorHAnsi"/>
              </w:rPr>
            </w:pPr>
            <w:r w:rsidRPr="00B503CE">
              <w:rPr>
                <w:rFonts w:asciiTheme="minorHAnsi" w:hAnsiTheme="minorHAnsi" w:cstheme="minorHAnsi"/>
              </w:rPr>
              <w:t>School o</w:t>
            </w:r>
            <w:r w:rsidR="00B503CE" w:rsidRPr="00B503CE">
              <w:rPr>
                <w:rFonts w:asciiTheme="minorHAnsi" w:hAnsiTheme="minorHAnsi" w:cstheme="minorHAnsi"/>
              </w:rPr>
              <w:t>f Medicine and Health Sciences</w:t>
            </w:r>
          </w:p>
          <w:p w:rsidR="00C104DA" w:rsidRPr="00B503CE" w:rsidRDefault="008302BD" w:rsidP="00B503CE">
            <w:pPr>
              <w:pStyle w:val="ListParagraph"/>
              <w:numPr>
                <w:ilvl w:val="0"/>
                <w:numId w:val="22"/>
              </w:numPr>
              <w:spacing w:after="0"/>
              <w:ind w:left="541"/>
              <w:rPr>
                <w:rFonts w:asciiTheme="minorHAnsi" w:hAnsiTheme="minorHAnsi" w:cstheme="minorHAnsi"/>
              </w:rPr>
            </w:pPr>
            <w:r w:rsidRPr="00B503CE">
              <w:rPr>
                <w:rFonts w:asciiTheme="minorHAnsi" w:hAnsiTheme="minorHAnsi" w:cstheme="minorHAnsi"/>
              </w:rPr>
              <w:t xml:space="preserve">Higher Medical Educational Program “Medicine” </w:t>
            </w:r>
          </w:p>
          <w:p w:rsidR="00846091" w:rsidRPr="00B503CE" w:rsidRDefault="00C104DA" w:rsidP="00B503CE">
            <w:pPr>
              <w:pStyle w:val="ListParagraph"/>
              <w:numPr>
                <w:ilvl w:val="0"/>
                <w:numId w:val="22"/>
              </w:numPr>
              <w:spacing w:after="0"/>
              <w:ind w:left="541"/>
              <w:rPr>
                <w:rFonts w:asciiTheme="minorHAnsi" w:hAnsiTheme="minorHAnsi" w:cstheme="minorHAnsi"/>
              </w:rPr>
            </w:pPr>
            <w:r w:rsidRPr="00B503CE">
              <w:rPr>
                <w:rFonts w:asciiTheme="minorHAnsi" w:hAnsiTheme="minorHAnsi" w:cstheme="minorHAnsi"/>
              </w:rPr>
              <w:t xml:space="preserve">One cycle 6-year </w:t>
            </w:r>
          </w:p>
          <w:p w:rsidR="00846091" w:rsidRPr="00C104DA" w:rsidRDefault="00846091">
            <w:pPr>
              <w:spacing w:after="0"/>
              <w:rPr>
                <w:rFonts w:asciiTheme="minorHAnsi" w:eastAsia="Merriweather" w:hAnsiTheme="minorHAnsi" w:cstheme="minorHAnsi"/>
              </w:rPr>
            </w:pPr>
          </w:p>
        </w:tc>
      </w:tr>
    </w:tbl>
    <w:tbl>
      <w:tblPr>
        <w:tblW w:w="9540" w:type="dxa"/>
        <w:tblInd w:w="26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9540"/>
      </w:tblGrid>
      <w:tr w:rsidR="00C104DA" w:rsidRPr="00C104DA" w:rsidTr="004A52C0">
        <w:trPr>
          <w:trHeight w:val="764"/>
        </w:trPr>
        <w:tc>
          <w:tcPr>
            <w:tcW w:w="954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C104DA" w:rsidRPr="00C104DA" w:rsidRDefault="00C104DA" w:rsidP="00133D01">
            <w:pPr>
              <w:spacing w:after="0" w:line="240" w:lineRule="auto"/>
              <w:jc w:val="center"/>
              <w:rPr>
                <w:rFonts w:asciiTheme="minorHAnsi" w:eastAsia="Merriweather" w:hAnsiTheme="minorHAnsi" w:cstheme="minorHAnsi"/>
                <w:b/>
                <w:color w:val="000000"/>
              </w:rPr>
            </w:pPr>
            <w:r w:rsidRPr="00C104DA">
              <w:rPr>
                <w:rFonts w:asciiTheme="minorHAnsi" w:eastAsia="Merriweather" w:hAnsiTheme="minorHAnsi" w:cstheme="minorHAnsi"/>
                <w:b/>
                <w:color w:val="000000"/>
              </w:rPr>
              <w:t>Learning Course Content</w:t>
            </w:r>
          </w:p>
        </w:tc>
      </w:tr>
      <w:tr w:rsidR="00C104DA" w:rsidRPr="00C104DA" w:rsidTr="008A45E8">
        <w:trPr>
          <w:trHeight w:val="5561"/>
        </w:trPr>
        <w:tc>
          <w:tcPr>
            <w:tcW w:w="9540" w:type="dxa"/>
            <w:tcBorders>
              <w:top w:val="single" w:sz="4" w:space="0" w:color="000000"/>
              <w:left w:val="nil"/>
              <w:bottom w:val="single" w:sz="4" w:space="0" w:color="auto"/>
              <w:right w:val="nil"/>
            </w:tcBorders>
            <w:shd w:val="clear" w:color="auto" w:fill="auto"/>
            <w:tcMar>
              <w:top w:w="75" w:type="dxa"/>
              <w:left w:w="75" w:type="dxa"/>
              <w:bottom w:w="75" w:type="dxa"/>
              <w:right w:w="75" w:type="dxa"/>
            </w:tcMar>
            <w:vAlign w:val="center"/>
          </w:tcPr>
          <w:tbl>
            <w:tblPr>
              <w:tblStyle w:val="TableGrid"/>
              <w:tblpPr w:leftFromText="180" w:rightFromText="180" w:horzAnchor="margin" w:tblpY="-255"/>
              <w:tblOverlap w:val="never"/>
              <w:tblW w:w="9460" w:type="dxa"/>
              <w:tblLayout w:type="fixed"/>
              <w:tblLook w:val="04A0" w:firstRow="1" w:lastRow="0" w:firstColumn="1" w:lastColumn="0" w:noHBand="0" w:noVBand="1"/>
            </w:tblPr>
            <w:tblGrid>
              <w:gridCol w:w="9460"/>
            </w:tblGrid>
            <w:tr w:rsidR="008A45E8" w:rsidTr="008A45E8">
              <w:tc>
                <w:tcPr>
                  <w:tcW w:w="9460" w:type="dxa"/>
                </w:tcPr>
                <w:p w:rsidR="008A45E8" w:rsidRDefault="008A45E8" w:rsidP="008A45E8">
                  <w:pPr>
                    <w:pStyle w:val="ListParagraph"/>
                    <w:numPr>
                      <w:ilvl w:val="0"/>
                      <w:numId w:val="22"/>
                    </w:numPr>
                    <w:spacing w:line="276" w:lineRule="auto"/>
                    <w:ind w:left="541"/>
                    <w:rPr>
                      <w:rFonts w:asciiTheme="minorHAnsi" w:hAnsiTheme="minorHAnsi" w:cstheme="minorHAnsi"/>
                    </w:rPr>
                  </w:pPr>
                  <w:bookmarkStart w:id="0" w:name="_heading=h.gjdgxs" w:colFirst="0" w:colLast="0"/>
                  <w:bookmarkEnd w:id="0"/>
                  <w:r w:rsidRPr="008A45E8">
                    <w:rPr>
                      <w:rFonts w:asciiTheme="minorHAnsi" w:hAnsiTheme="minorHAnsi" w:cstheme="minorHAnsi"/>
                    </w:rPr>
                    <w:t>Prenatal diagnostics. Prenatal diagnosis in invasive testing. Screening for neural tube defects. Screening for down syndrome and other aneuploidies. Problems during prenatal chromosomal analysis.</w:t>
                  </w:r>
                </w:p>
                <w:p w:rsidR="008A45E8" w:rsidRPr="008A45E8" w:rsidRDefault="008A45E8" w:rsidP="008A45E8">
                  <w:pPr>
                    <w:pStyle w:val="ListParagraph"/>
                    <w:numPr>
                      <w:ilvl w:val="0"/>
                      <w:numId w:val="22"/>
                    </w:numPr>
                    <w:spacing w:line="276" w:lineRule="auto"/>
                    <w:ind w:left="541"/>
                    <w:rPr>
                      <w:rFonts w:asciiTheme="minorHAnsi" w:hAnsiTheme="minorHAnsi" w:cstheme="minorHAnsi"/>
                    </w:rPr>
                  </w:pPr>
                  <w:r w:rsidRPr="008A45E8">
                    <w:rPr>
                      <w:rFonts w:asciiTheme="minorHAnsi" w:hAnsiTheme="minorHAnsi" w:cstheme="minorHAnsi"/>
                    </w:rPr>
                    <w:t>Mitochondrial genome. Maternal inheritance. Mitochondrial genome mutations and diseases</w:t>
                  </w:r>
                </w:p>
                <w:p w:rsidR="008A45E8" w:rsidRPr="008A45E8" w:rsidRDefault="008A45E8" w:rsidP="008A45E8">
                  <w:pPr>
                    <w:pStyle w:val="ListParagraph"/>
                    <w:numPr>
                      <w:ilvl w:val="0"/>
                      <w:numId w:val="22"/>
                    </w:numPr>
                    <w:spacing w:line="276" w:lineRule="auto"/>
                    <w:ind w:left="541"/>
                    <w:rPr>
                      <w:rFonts w:asciiTheme="minorHAnsi" w:hAnsiTheme="minorHAnsi" w:cstheme="minorHAnsi"/>
                    </w:rPr>
                  </w:pPr>
                  <w:r w:rsidRPr="008A45E8">
                    <w:rPr>
                      <w:rFonts w:asciiTheme="minorHAnsi" w:hAnsiTheme="minorHAnsi" w:cstheme="minorHAnsi"/>
                    </w:rPr>
                    <w:t>Cancer gene</w:t>
                  </w:r>
                  <w:bookmarkStart w:id="1" w:name="_GoBack"/>
                  <w:bookmarkEnd w:id="1"/>
                  <w:r w:rsidRPr="008A45E8">
                    <w:rPr>
                      <w:rFonts w:asciiTheme="minorHAnsi" w:hAnsiTheme="minorHAnsi" w:cstheme="minorHAnsi"/>
                    </w:rPr>
                    <w:t>tics and genomics. Genetic basis of cancer. Driver and passenger gene mutations. Activated oncogenes and tumor suppressor genes. Cellular heterogeneity within individual tumors. Cancer in families. Retinoblastoma. Familial breast cancer due to mutations in BRCA! And BRCA2. Hereditary colon cancer. Familial adenomatous polyposis. Lynch syndrome. Sporadic cancer. Cytogenetic chances in cancer. Gene expression profiling in cancer prognosis. Cancer and environment</w:t>
                  </w:r>
                </w:p>
                <w:p w:rsidR="008A45E8" w:rsidRPr="008A45E8" w:rsidRDefault="008A45E8" w:rsidP="008A45E8">
                  <w:pPr>
                    <w:pStyle w:val="ListParagraph"/>
                    <w:numPr>
                      <w:ilvl w:val="0"/>
                      <w:numId w:val="22"/>
                    </w:numPr>
                    <w:spacing w:line="276" w:lineRule="auto"/>
                    <w:ind w:left="541"/>
                    <w:rPr>
                      <w:rFonts w:asciiTheme="minorHAnsi" w:hAnsiTheme="minorHAnsi" w:cstheme="minorHAnsi"/>
                    </w:rPr>
                  </w:pPr>
                  <w:r w:rsidRPr="008A45E8">
                    <w:rPr>
                      <w:rFonts w:asciiTheme="minorHAnsi" w:hAnsiTheme="minorHAnsi" w:cstheme="minorHAnsi"/>
                    </w:rPr>
                    <w:t>Epigenetics and gene expression characteristics.  Imprinting, X inactivation; Gene expression regulation and significance in medicine. Prader-willi syndrome, angelman syndrome,</w:t>
                  </w:r>
                </w:p>
                <w:p w:rsidR="008A45E8" w:rsidRPr="008A45E8" w:rsidRDefault="008A45E8" w:rsidP="008A45E8">
                  <w:pPr>
                    <w:pStyle w:val="ListParagraph"/>
                    <w:numPr>
                      <w:ilvl w:val="0"/>
                      <w:numId w:val="22"/>
                    </w:numPr>
                    <w:spacing w:line="276" w:lineRule="auto"/>
                    <w:ind w:left="541"/>
                    <w:rPr>
                      <w:rFonts w:asciiTheme="minorHAnsi" w:hAnsiTheme="minorHAnsi" w:cstheme="minorHAnsi"/>
                    </w:rPr>
                  </w:pPr>
                  <w:r w:rsidRPr="008A45E8">
                    <w:rPr>
                      <w:rFonts w:asciiTheme="minorHAnsi" w:hAnsiTheme="minorHAnsi" w:cstheme="minorHAnsi"/>
                    </w:rPr>
                    <w:t>Risk assessment and genetic counseling. Family history in risk assessment. Genetic counseling in clinical practice. Managing the risk for recurrence in families</w:t>
                  </w:r>
                </w:p>
                <w:p w:rsidR="008A45E8" w:rsidRPr="008A45E8" w:rsidRDefault="008A45E8" w:rsidP="008A45E8">
                  <w:pPr>
                    <w:pStyle w:val="ListParagraph"/>
                    <w:numPr>
                      <w:ilvl w:val="0"/>
                      <w:numId w:val="22"/>
                    </w:numPr>
                    <w:spacing w:line="276" w:lineRule="auto"/>
                    <w:ind w:left="541"/>
                    <w:rPr>
                      <w:rFonts w:asciiTheme="minorHAnsi" w:hAnsiTheme="minorHAnsi" w:cstheme="minorHAnsi"/>
                    </w:rPr>
                  </w:pPr>
                  <w:r w:rsidRPr="008A45E8">
                    <w:rPr>
                      <w:rFonts w:asciiTheme="minorHAnsi" w:hAnsiTheme="minorHAnsi" w:cstheme="minorHAnsi"/>
                    </w:rPr>
                    <w:t xml:space="preserve">The treatment of genetic disease. Special consideration in treating genetic disease. Treatment by the manipulation of metabolism. Treatment to increase  the function of the affected gene or protein. Modulation of gene expression. Gene therapy. </w:t>
                  </w:r>
                </w:p>
                <w:p w:rsidR="008A45E8" w:rsidRPr="008A45E8" w:rsidRDefault="008A45E8" w:rsidP="008A45E8">
                  <w:pPr>
                    <w:pStyle w:val="ListParagraph"/>
                    <w:numPr>
                      <w:ilvl w:val="0"/>
                      <w:numId w:val="22"/>
                    </w:numPr>
                    <w:spacing w:line="276" w:lineRule="auto"/>
                    <w:ind w:left="541"/>
                    <w:rPr>
                      <w:rFonts w:asciiTheme="minorHAnsi" w:hAnsiTheme="minorHAnsi" w:cstheme="minorHAnsi"/>
                    </w:rPr>
                  </w:pPr>
                  <w:r w:rsidRPr="008A45E8">
                    <w:rPr>
                      <w:rFonts w:asciiTheme="minorHAnsi" w:hAnsiTheme="minorHAnsi" w:cstheme="minorHAnsi"/>
                    </w:rPr>
                    <w:t>Application of genomics to medicine and personalizes health care. Pharmacogenetics. Variation in pharmacokinetic response. Adverse drug reaction. Genetic epidemiology. Personalized genomic medicine.</w:t>
                  </w:r>
                </w:p>
              </w:tc>
            </w:tr>
          </w:tbl>
          <w:p w:rsidR="00C104DA" w:rsidRPr="004A52C0" w:rsidRDefault="00C104DA" w:rsidP="004A52C0">
            <w:pPr>
              <w:shd w:val="clear" w:color="auto" w:fill="FFFFFF"/>
              <w:spacing w:after="0" w:line="240" w:lineRule="auto"/>
              <w:rPr>
                <w:rFonts w:asciiTheme="minorHAnsi" w:eastAsia="Merriweather" w:hAnsiTheme="minorHAnsi" w:cstheme="minorHAnsi"/>
              </w:rPr>
            </w:pPr>
          </w:p>
        </w:tc>
      </w:tr>
      <w:tr w:rsidR="00C104DA" w:rsidRPr="00C104DA" w:rsidTr="00C104DA">
        <w:trPr>
          <w:trHeight w:val="330"/>
        </w:trPr>
        <w:tc>
          <w:tcPr>
            <w:tcW w:w="9540" w:type="dxa"/>
            <w:tcBorders>
              <w:top w:val="single" w:sz="4" w:space="0" w:color="auto"/>
              <w:left w:val="single" w:sz="4" w:space="0" w:color="000000"/>
              <w:bottom w:val="single" w:sz="4" w:space="0" w:color="auto"/>
              <w:right w:val="single" w:sz="4" w:space="0" w:color="000000"/>
            </w:tcBorders>
            <w:shd w:val="clear" w:color="auto" w:fill="92D050"/>
            <w:tcMar>
              <w:top w:w="75" w:type="dxa"/>
              <w:left w:w="75" w:type="dxa"/>
              <w:bottom w:w="75" w:type="dxa"/>
              <w:right w:w="75" w:type="dxa"/>
            </w:tcMar>
            <w:vAlign w:val="center"/>
          </w:tcPr>
          <w:p w:rsidR="00C104DA" w:rsidRPr="00C104DA" w:rsidRDefault="00C104DA" w:rsidP="00C104DA">
            <w:pPr>
              <w:spacing w:after="0" w:line="240" w:lineRule="auto"/>
              <w:jc w:val="center"/>
              <w:rPr>
                <w:rFonts w:asciiTheme="minorHAnsi" w:eastAsia="Merriweather" w:hAnsiTheme="minorHAnsi" w:cstheme="minorHAnsi"/>
                <w:b/>
                <w:color w:val="000000"/>
              </w:rPr>
            </w:pPr>
            <w:r>
              <w:rPr>
                <w:rFonts w:asciiTheme="minorHAnsi" w:eastAsia="Merriweather" w:hAnsiTheme="minorHAnsi" w:cstheme="minorHAnsi"/>
                <w:b/>
                <w:color w:val="000000"/>
              </w:rPr>
              <w:t xml:space="preserve">Textbooks and </w:t>
            </w:r>
            <w:r w:rsidR="008B13BE">
              <w:rPr>
                <w:rFonts w:asciiTheme="minorHAnsi" w:eastAsia="Merriweather" w:hAnsiTheme="minorHAnsi" w:cstheme="minorHAnsi"/>
                <w:b/>
                <w:color w:val="000000"/>
              </w:rPr>
              <w:t>Ma</w:t>
            </w:r>
            <w:r>
              <w:rPr>
                <w:rFonts w:asciiTheme="minorHAnsi" w:eastAsia="Merriweather" w:hAnsiTheme="minorHAnsi" w:cstheme="minorHAnsi"/>
                <w:b/>
                <w:color w:val="000000"/>
              </w:rPr>
              <w:t>terials</w:t>
            </w:r>
          </w:p>
        </w:tc>
      </w:tr>
    </w:tbl>
    <w:p w:rsidR="00846091" w:rsidRDefault="00846091">
      <w:pPr>
        <w:spacing w:after="0"/>
        <w:rPr>
          <w:rFonts w:asciiTheme="minorHAnsi" w:eastAsia="Merriweather" w:hAnsiTheme="minorHAnsi" w:cstheme="minorHAnsi"/>
        </w:rPr>
      </w:pPr>
    </w:p>
    <w:tbl>
      <w:tblPr>
        <w:tblStyle w:val="TableGrid"/>
        <w:tblW w:w="0" w:type="auto"/>
        <w:tblInd w:w="265" w:type="dxa"/>
        <w:tblLook w:val="04A0" w:firstRow="1" w:lastRow="0" w:firstColumn="1" w:lastColumn="0" w:noHBand="0" w:noVBand="1"/>
      </w:tblPr>
      <w:tblGrid>
        <w:gridCol w:w="9413"/>
      </w:tblGrid>
      <w:tr w:rsidR="008A45E8" w:rsidTr="00EF5452">
        <w:tc>
          <w:tcPr>
            <w:tcW w:w="9413" w:type="dxa"/>
          </w:tcPr>
          <w:p w:rsidR="008A45E8" w:rsidRPr="008A45E8" w:rsidRDefault="008A45E8" w:rsidP="008A45E8">
            <w:pPr>
              <w:pStyle w:val="ListParagraph"/>
              <w:numPr>
                <w:ilvl w:val="0"/>
                <w:numId w:val="22"/>
              </w:numPr>
              <w:spacing w:line="276" w:lineRule="auto"/>
              <w:ind w:left="541"/>
              <w:rPr>
                <w:rFonts w:asciiTheme="minorHAnsi" w:hAnsiTheme="minorHAnsi" w:cstheme="minorHAnsi"/>
              </w:rPr>
            </w:pPr>
            <w:r w:rsidRPr="008A45E8">
              <w:rPr>
                <w:rFonts w:asciiTheme="minorHAnsi" w:hAnsiTheme="minorHAnsi" w:cstheme="minorHAnsi"/>
              </w:rPr>
              <w:t>Thompson &amp; Thompson genetics in medicine - Robert L. Nussbaum, Roderick R. Mc. Innes; Elsevier; 8th ed. 2016.</w:t>
            </w:r>
          </w:p>
          <w:p w:rsidR="008A45E8" w:rsidRPr="008A45E8" w:rsidRDefault="008A45E8" w:rsidP="008A45E8">
            <w:pPr>
              <w:pStyle w:val="ListParagraph"/>
              <w:numPr>
                <w:ilvl w:val="0"/>
                <w:numId w:val="22"/>
              </w:numPr>
              <w:spacing w:line="276" w:lineRule="auto"/>
              <w:ind w:left="541"/>
              <w:rPr>
                <w:rFonts w:asciiTheme="minorHAnsi" w:hAnsiTheme="minorHAnsi" w:cstheme="minorHAnsi"/>
              </w:rPr>
            </w:pPr>
            <w:r w:rsidRPr="008A45E8">
              <w:rPr>
                <w:rFonts w:asciiTheme="minorHAnsi" w:hAnsiTheme="minorHAnsi" w:cstheme="minorHAnsi"/>
              </w:rPr>
              <w:t>Concepts of Genetics-William S. Klug; Michael R. Cummings; Pearson; 12th.ed. 2019;</w:t>
            </w:r>
          </w:p>
          <w:p w:rsidR="008A45E8" w:rsidRPr="008A45E8" w:rsidRDefault="008A45E8" w:rsidP="008A45E8">
            <w:pPr>
              <w:pStyle w:val="ListParagraph"/>
              <w:numPr>
                <w:ilvl w:val="0"/>
                <w:numId w:val="22"/>
              </w:numPr>
              <w:spacing w:line="276" w:lineRule="auto"/>
              <w:ind w:left="541"/>
              <w:rPr>
                <w:rFonts w:asciiTheme="minorHAnsi" w:hAnsiTheme="minorHAnsi" w:cstheme="minorHAnsi"/>
              </w:rPr>
            </w:pPr>
            <w:r w:rsidRPr="008A45E8">
              <w:rPr>
                <w:rFonts w:asciiTheme="minorHAnsi" w:hAnsiTheme="minorHAnsi" w:cstheme="minorHAnsi"/>
              </w:rPr>
              <w:t>EMERY AND RIMOIN'S ESSENTIAL MEDICAL GENETICS - DAVID L. RIMOIN'S; ELSEVIER; 6TH ED.2013;</w:t>
            </w:r>
          </w:p>
          <w:p w:rsidR="008A45E8" w:rsidRPr="008A45E8" w:rsidRDefault="008A45E8" w:rsidP="008A45E8">
            <w:pPr>
              <w:pStyle w:val="ListParagraph"/>
              <w:numPr>
                <w:ilvl w:val="0"/>
                <w:numId w:val="22"/>
              </w:numPr>
              <w:spacing w:line="276" w:lineRule="auto"/>
              <w:ind w:left="541"/>
              <w:rPr>
                <w:rFonts w:asciiTheme="minorHAnsi" w:hAnsiTheme="minorHAnsi" w:cstheme="minorHAnsi"/>
              </w:rPr>
            </w:pPr>
            <w:r w:rsidRPr="008A45E8">
              <w:rPr>
                <w:rFonts w:asciiTheme="minorHAnsi" w:hAnsiTheme="minorHAnsi" w:cstheme="minorHAnsi"/>
              </w:rPr>
              <w:t>LEWIN'S GENES XI - KREBS, JOCELYN E; JONES AND BARLETT LEARNING; XI ED. 2014;</w:t>
            </w:r>
          </w:p>
          <w:p w:rsidR="008A45E8" w:rsidRDefault="008A45E8" w:rsidP="008A45E8">
            <w:pPr>
              <w:pStyle w:val="ListParagraph"/>
              <w:numPr>
                <w:ilvl w:val="0"/>
                <w:numId w:val="22"/>
              </w:numPr>
              <w:spacing w:line="276" w:lineRule="auto"/>
              <w:ind w:left="541"/>
              <w:rPr>
                <w:rFonts w:asciiTheme="minorHAnsi" w:hAnsiTheme="minorHAnsi" w:cstheme="minorHAnsi"/>
              </w:rPr>
            </w:pPr>
            <w:r w:rsidRPr="008A45E8">
              <w:rPr>
                <w:rFonts w:asciiTheme="minorHAnsi" w:hAnsiTheme="minorHAnsi" w:cstheme="minorHAnsi"/>
              </w:rPr>
              <w:lastRenderedPageBreak/>
              <w:t>MOLECULAR BIOLOGY OF THE CELL- BRUCE ALBERTS, ALEXANDER JOHNSON; GARLAND SCIENCE; 6TH. ED. 2015;</w:t>
            </w:r>
          </w:p>
          <w:p w:rsidR="008A45E8" w:rsidRPr="008A45E8" w:rsidRDefault="008A45E8" w:rsidP="008A45E8">
            <w:pPr>
              <w:pStyle w:val="ListParagraph"/>
              <w:numPr>
                <w:ilvl w:val="0"/>
                <w:numId w:val="22"/>
              </w:numPr>
              <w:spacing w:line="276" w:lineRule="auto"/>
              <w:ind w:left="541"/>
              <w:rPr>
                <w:rFonts w:asciiTheme="minorHAnsi" w:hAnsiTheme="minorHAnsi" w:cstheme="minorHAnsi"/>
              </w:rPr>
            </w:pPr>
            <w:r w:rsidRPr="008A45E8">
              <w:rPr>
                <w:rFonts w:asciiTheme="minorHAnsi" w:hAnsiTheme="minorHAnsi" w:cstheme="minorHAnsi"/>
              </w:rPr>
              <w:t>THE PRINCIPLES OF CLINICAL CYTOGENETICS - STEVEN L.GERSEN; MARTHA B KEAGLE. HUMANA PRESS; 2ND. ED. 2005;</w:t>
            </w:r>
          </w:p>
          <w:p w:rsidR="008A45E8" w:rsidRPr="008A45E8" w:rsidRDefault="008A45E8" w:rsidP="008A45E8">
            <w:pPr>
              <w:pStyle w:val="ListParagraph"/>
              <w:numPr>
                <w:ilvl w:val="0"/>
                <w:numId w:val="22"/>
              </w:numPr>
              <w:spacing w:line="276" w:lineRule="auto"/>
              <w:ind w:left="541"/>
              <w:rPr>
                <w:rFonts w:asciiTheme="minorHAnsi" w:hAnsiTheme="minorHAnsi" w:cstheme="minorHAnsi"/>
              </w:rPr>
            </w:pPr>
            <w:r w:rsidRPr="008A45E8">
              <w:rPr>
                <w:rFonts w:asciiTheme="minorHAnsi" w:hAnsiTheme="minorHAnsi" w:cstheme="minorHAnsi"/>
              </w:rPr>
              <w:t>HUMAN MOLECULAR GENETICS - TOM STRACHAN;ANDREW READ; GARLAND SCIENCE; 4TH.ED. 2011.</w:t>
            </w:r>
          </w:p>
          <w:p w:rsidR="008A45E8" w:rsidRDefault="008A45E8">
            <w:pPr>
              <w:rPr>
                <w:rFonts w:asciiTheme="minorHAnsi" w:eastAsia="Merriweather" w:hAnsiTheme="minorHAnsi" w:cstheme="minorHAnsi"/>
              </w:rPr>
            </w:pPr>
          </w:p>
        </w:tc>
      </w:tr>
    </w:tbl>
    <w:p w:rsidR="008A45E8" w:rsidRPr="009E35AD" w:rsidRDefault="008A45E8">
      <w:pPr>
        <w:spacing w:after="0"/>
        <w:rPr>
          <w:rFonts w:asciiTheme="minorHAnsi" w:eastAsia="Merriweather" w:hAnsiTheme="minorHAnsi" w:cstheme="minorHAnsi"/>
        </w:rPr>
      </w:pPr>
    </w:p>
    <w:sectPr w:rsidR="008A45E8" w:rsidRPr="009E35AD">
      <w:headerReference w:type="default" r:id="rId8"/>
      <w:footerReference w:type="default" r:id="rId9"/>
      <w:pgSz w:w="12240" w:h="15840"/>
      <w:pgMar w:top="92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4E9" w:rsidRDefault="000B24E9">
      <w:pPr>
        <w:spacing w:after="0" w:line="240" w:lineRule="auto"/>
      </w:pPr>
      <w:r>
        <w:separator/>
      </w:r>
    </w:p>
  </w:endnote>
  <w:endnote w:type="continuationSeparator" w:id="0">
    <w:p w:rsidR="000B24E9" w:rsidRDefault="000B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erriweath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91" w:rsidRDefault="008302B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F5452">
      <w:rPr>
        <w:noProof/>
        <w:color w:val="000000"/>
      </w:rPr>
      <w:t>2</w:t>
    </w:r>
    <w:r>
      <w:rPr>
        <w:color w:val="000000"/>
      </w:rPr>
      <w:fldChar w:fldCharType="end"/>
    </w:r>
  </w:p>
  <w:p w:rsidR="00846091" w:rsidRDefault="0084609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4E9" w:rsidRDefault="000B24E9">
      <w:pPr>
        <w:spacing w:after="0" w:line="240" w:lineRule="auto"/>
      </w:pPr>
      <w:r>
        <w:separator/>
      </w:r>
    </w:p>
  </w:footnote>
  <w:footnote w:type="continuationSeparator" w:id="0">
    <w:p w:rsidR="000B24E9" w:rsidRDefault="000B2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91" w:rsidRPr="00C104DA" w:rsidRDefault="008302BD">
    <w:pPr>
      <w:pBdr>
        <w:top w:val="single" w:sz="24" w:space="1" w:color="622423"/>
        <w:left w:val="nil"/>
        <w:bottom w:val="nil"/>
        <w:right w:val="nil"/>
        <w:between w:val="nil"/>
      </w:pBdr>
      <w:tabs>
        <w:tab w:val="center" w:pos="4680"/>
        <w:tab w:val="right" w:pos="9360"/>
      </w:tabs>
      <w:spacing w:after="0" w:line="240" w:lineRule="auto"/>
      <w:rPr>
        <w:rFonts w:asciiTheme="minorHAnsi" w:eastAsia="Merriweather" w:hAnsiTheme="minorHAnsi" w:cs="Merriweather"/>
        <w:i/>
        <w:color w:val="000000"/>
      </w:rPr>
    </w:pPr>
    <w:r>
      <w:rPr>
        <w:rFonts w:ascii="Cambria" w:eastAsia="Cambria" w:hAnsi="Cambria" w:cs="Cambria"/>
        <w:noProof/>
        <w:color w:val="000000"/>
      </w:rPr>
      <w:drawing>
        <wp:inline distT="0" distB="0" distL="0" distR="0">
          <wp:extent cx="820643" cy="26182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0643" cy="261824"/>
                  </a:xfrm>
                  <a:prstGeom prst="rect">
                    <a:avLst/>
                  </a:prstGeom>
                  <a:ln/>
                </pic:spPr>
              </pic:pic>
            </a:graphicData>
          </a:graphic>
        </wp:inline>
      </w:drawing>
    </w:r>
    <w:r>
      <w:rPr>
        <w:rFonts w:ascii="Cambria" w:eastAsia="Cambria" w:hAnsi="Cambria" w:cs="Cambria"/>
        <w:color w:val="000000"/>
      </w:rPr>
      <w:t xml:space="preserve">        </w:t>
    </w:r>
    <w:r>
      <w:rPr>
        <w:i/>
        <w:color w:val="000000"/>
      </w:rPr>
      <w:t xml:space="preserve">                                                                                                                                 </w:t>
    </w:r>
    <w:r w:rsidR="00D22650">
      <w:rPr>
        <w:rFonts w:ascii="Cambria" w:eastAsia="Cambria" w:hAnsi="Cambria" w:cs="Cambria"/>
        <w:i/>
        <w:color w:val="000000"/>
      </w:rPr>
      <w:t>202</w:t>
    </w:r>
    <w:r w:rsidR="00C104DA">
      <w:rPr>
        <w:rFonts w:ascii="Cambria" w:eastAsia="Cambria" w:hAnsi="Cambria" w:cs="Cambria"/>
        <w:i/>
        <w:color w:val="000000"/>
      </w:rPr>
      <w:t>4</w:t>
    </w:r>
    <w:r>
      <w:rPr>
        <w:rFonts w:ascii="Cambria" w:eastAsia="Cambria" w:hAnsi="Cambria" w:cs="Cambria"/>
        <w:i/>
        <w:color w:val="000000"/>
      </w:rPr>
      <w:t>- 202</w:t>
    </w:r>
    <w:r w:rsidR="00C104DA">
      <w:rPr>
        <w:rFonts w:asciiTheme="minorHAnsi" w:eastAsia="Cambria" w:hAnsiTheme="minorHAnsi" w:cs="Cambria"/>
        <w:i/>
        <w:color w:val="000000"/>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9D6"/>
    <w:multiLevelType w:val="multilevel"/>
    <w:tmpl w:val="6E680BE0"/>
    <w:lvl w:ilvl="0">
      <w:start w:val="1"/>
      <w:numFmt w:val="decimal"/>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 w15:restartNumberingAfterBreak="0">
    <w:nsid w:val="1D1731AA"/>
    <w:multiLevelType w:val="multilevel"/>
    <w:tmpl w:val="F6D26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921F8B"/>
    <w:multiLevelType w:val="hybridMultilevel"/>
    <w:tmpl w:val="91AAC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DE1B0D"/>
    <w:multiLevelType w:val="multilevel"/>
    <w:tmpl w:val="D17E7AA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34F30103"/>
    <w:multiLevelType w:val="hybridMultilevel"/>
    <w:tmpl w:val="FF9C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758E8"/>
    <w:multiLevelType w:val="hybridMultilevel"/>
    <w:tmpl w:val="F5184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2F0587"/>
    <w:multiLevelType w:val="hybridMultilevel"/>
    <w:tmpl w:val="CF3CE7D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EE0357"/>
    <w:multiLevelType w:val="hybridMultilevel"/>
    <w:tmpl w:val="AA7A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0BF6"/>
    <w:multiLevelType w:val="multilevel"/>
    <w:tmpl w:val="379E0256"/>
    <w:lvl w:ilvl="0">
      <w:start w:val="1"/>
      <w:numFmt w:val="bullet"/>
      <w:lvlText w:val="●"/>
      <w:lvlJc w:val="left"/>
      <w:pPr>
        <w:ind w:left="1554" w:hanging="495"/>
      </w:pPr>
      <w:rPr>
        <w:rFonts w:ascii="Noto Sans Symbols" w:eastAsia="Noto Sans Symbols" w:hAnsi="Noto Sans Symbols" w:cs="Noto Sans Symbols"/>
      </w:rPr>
    </w:lvl>
    <w:lvl w:ilvl="1">
      <w:start w:val="1"/>
      <w:numFmt w:val="bullet"/>
      <w:lvlText w:val="o"/>
      <w:lvlJc w:val="left"/>
      <w:pPr>
        <w:ind w:left="2139" w:hanging="360"/>
      </w:pPr>
      <w:rPr>
        <w:rFonts w:ascii="Courier New" w:eastAsia="Courier New" w:hAnsi="Courier New" w:cs="Courier New"/>
      </w:rPr>
    </w:lvl>
    <w:lvl w:ilvl="2">
      <w:start w:val="1"/>
      <w:numFmt w:val="bullet"/>
      <w:lvlText w:val="▪"/>
      <w:lvlJc w:val="left"/>
      <w:pPr>
        <w:ind w:left="2859" w:hanging="360"/>
      </w:pPr>
      <w:rPr>
        <w:rFonts w:ascii="Noto Sans Symbols" w:eastAsia="Noto Sans Symbols" w:hAnsi="Noto Sans Symbols" w:cs="Noto Sans Symbols"/>
      </w:rPr>
    </w:lvl>
    <w:lvl w:ilvl="3">
      <w:start w:val="1"/>
      <w:numFmt w:val="bullet"/>
      <w:lvlText w:val="●"/>
      <w:lvlJc w:val="left"/>
      <w:pPr>
        <w:ind w:left="3579" w:hanging="360"/>
      </w:pPr>
      <w:rPr>
        <w:rFonts w:ascii="Noto Sans Symbols" w:eastAsia="Noto Sans Symbols" w:hAnsi="Noto Sans Symbols" w:cs="Noto Sans Symbols"/>
      </w:rPr>
    </w:lvl>
    <w:lvl w:ilvl="4">
      <w:start w:val="1"/>
      <w:numFmt w:val="bullet"/>
      <w:lvlText w:val="o"/>
      <w:lvlJc w:val="left"/>
      <w:pPr>
        <w:ind w:left="4299" w:hanging="360"/>
      </w:pPr>
      <w:rPr>
        <w:rFonts w:ascii="Courier New" w:eastAsia="Courier New" w:hAnsi="Courier New" w:cs="Courier New"/>
      </w:rPr>
    </w:lvl>
    <w:lvl w:ilvl="5">
      <w:start w:val="1"/>
      <w:numFmt w:val="bullet"/>
      <w:lvlText w:val="▪"/>
      <w:lvlJc w:val="left"/>
      <w:pPr>
        <w:ind w:left="5019" w:hanging="360"/>
      </w:pPr>
      <w:rPr>
        <w:rFonts w:ascii="Noto Sans Symbols" w:eastAsia="Noto Sans Symbols" w:hAnsi="Noto Sans Symbols" w:cs="Noto Sans Symbols"/>
      </w:rPr>
    </w:lvl>
    <w:lvl w:ilvl="6">
      <w:start w:val="1"/>
      <w:numFmt w:val="bullet"/>
      <w:lvlText w:val="●"/>
      <w:lvlJc w:val="left"/>
      <w:pPr>
        <w:ind w:left="5739" w:hanging="360"/>
      </w:pPr>
      <w:rPr>
        <w:rFonts w:ascii="Noto Sans Symbols" w:eastAsia="Noto Sans Symbols" w:hAnsi="Noto Sans Symbols" w:cs="Noto Sans Symbols"/>
      </w:rPr>
    </w:lvl>
    <w:lvl w:ilvl="7">
      <w:start w:val="1"/>
      <w:numFmt w:val="bullet"/>
      <w:lvlText w:val="o"/>
      <w:lvlJc w:val="left"/>
      <w:pPr>
        <w:ind w:left="6459" w:hanging="360"/>
      </w:pPr>
      <w:rPr>
        <w:rFonts w:ascii="Courier New" w:eastAsia="Courier New" w:hAnsi="Courier New" w:cs="Courier New"/>
      </w:rPr>
    </w:lvl>
    <w:lvl w:ilvl="8">
      <w:start w:val="1"/>
      <w:numFmt w:val="bullet"/>
      <w:lvlText w:val="▪"/>
      <w:lvlJc w:val="left"/>
      <w:pPr>
        <w:ind w:left="7179" w:hanging="360"/>
      </w:pPr>
      <w:rPr>
        <w:rFonts w:ascii="Noto Sans Symbols" w:eastAsia="Noto Sans Symbols" w:hAnsi="Noto Sans Symbols" w:cs="Noto Sans Symbols"/>
      </w:rPr>
    </w:lvl>
  </w:abstractNum>
  <w:abstractNum w:abstractNumId="9" w15:restartNumberingAfterBreak="0">
    <w:nsid w:val="45593D02"/>
    <w:multiLevelType w:val="multilevel"/>
    <w:tmpl w:val="7A5C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BE4143"/>
    <w:multiLevelType w:val="multilevel"/>
    <w:tmpl w:val="CFB84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A62318"/>
    <w:multiLevelType w:val="multilevel"/>
    <w:tmpl w:val="14103042"/>
    <w:lvl w:ilvl="0">
      <w:start w:val="1"/>
      <w:numFmt w:val="bullet"/>
      <w:lvlText w:val="●"/>
      <w:lvlJc w:val="left"/>
      <w:pPr>
        <w:ind w:left="922" w:hanging="360"/>
      </w:pPr>
      <w:rPr>
        <w:rFonts w:ascii="Noto Sans Symbols" w:eastAsia="Noto Sans Symbols" w:hAnsi="Noto Sans Symbols" w:cs="Noto Sans Symbols"/>
      </w:rPr>
    </w:lvl>
    <w:lvl w:ilvl="1">
      <w:start w:val="1"/>
      <w:numFmt w:val="bullet"/>
      <w:lvlText w:val="o"/>
      <w:lvlJc w:val="left"/>
      <w:pPr>
        <w:ind w:left="1642" w:hanging="360"/>
      </w:pPr>
      <w:rPr>
        <w:rFonts w:ascii="Courier New" w:eastAsia="Courier New" w:hAnsi="Courier New" w:cs="Courier New"/>
      </w:rPr>
    </w:lvl>
    <w:lvl w:ilvl="2">
      <w:start w:val="1"/>
      <w:numFmt w:val="bullet"/>
      <w:lvlText w:val="▪"/>
      <w:lvlJc w:val="left"/>
      <w:pPr>
        <w:ind w:left="2362" w:hanging="360"/>
      </w:pPr>
      <w:rPr>
        <w:rFonts w:ascii="Noto Sans Symbols" w:eastAsia="Noto Sans Symbols" w:hAnsi="Noto Sans Symbols" w:cs="Noto Sans Symbols"/>
      </w:rPr>
    </w:lvl>
    <w:lvl w:ilvl="3">
      <w:start w:val="1"/>
      <w:numFmt w:val="bullet"/>
      <w:lvlText w:val="●"/>
      <w:lvlJc w:val="left"/>
      <w:pPr>
        <w:ind w:left="3082" w:hanging="360"/>
      </w:pPr>
      <w:rPr>
        <w:rFonts w:ascii="Noto Sans Symbols" w:eastAsia="Noto Sans Symbols" w:hAnsi="Noto Sans Symbols" w:cs="Noto Sans Symbols"/>
      </w:rPr>
    </w:lvl>
    <w:lvl w:ilvl="4">
      <w:start w:val="1"/>
      <w:numFmt w:val="bullet"/>
      <w:lvlText w:val="o"/>
      <w:lvlJc w:val="left"/>
      <w:pPr>
        <w:ind w:left="3802" w:hanging="360"/>
      </w:pPr>
      <w:rPr>
        <w:rFonts w:ascii="Courier New" w:eastAsia="Courier New" w:hAnsi="Courier New" w:cs="Courier New"/>
      </w:rPr>
    </w:lvl>
    <w:lvl w:ilvl="5">
      <w:start w:val="1"/>
      <w:numFmt w:val="bullet"/>
      <w:lvlText w:val="▪"/>
      <w:lvlJc w:val="left"/>
      <w:pPr>
        <w:ind w:left="4522" w:hanging="360"/>
      </w:pPr>
      <w:rPr>
        <w:rFonts w:ascii="Noto Sans Symbols" w:eastAsia="Noto Sans Symbols" w:hAnsi="Noto Sans Symbols" w:cs="Noto Sans Symbols"/>
      </w:rPr>
    </w:lvl>
    <w:lvl w:ilvl="6">
      <w:start w:val="1"/>
      <w:numFmt w:val="bullet"/>
      <w:lvlText w:val="●"/>
      <w:lvlJc w:val="left"/>
      <w:pPr>
        <w:ind w:left="5242" w:hanging="360"/>
      </w:pPr>
      <w:rPr>
        <w:rFonts w:ascii="Noto Sans Symbols" w:eastAsia="Noto Sans Symbols" w:hAnsi="Noto Sans Symbols" w:cs="Noto Sans Symbols"/>
      </w:rPr>
    </w:lvl>
    <w:lvl w:ilvl="7">
      <w:start w:val="1"/>
      <w:numFmt w:val="bullet"/>
      <w:lvlText w:val="o"/>
      <w:lvlJc w:val="left"/>
      <w:pPr>
        <w:ind w:left="5962" w:hanging="360"/>
      </w:pPr>
      <w:rPr>
        <w:rFonts w:ascii="Courier New" w:eastAsia="Courier New" w:hAnsi="Courier New" w:cs="Courier New"/>
      </w:rPr>
    </w:lvl>
    <w:lvl w:ilvl="8">
      <w:start w:val="1"/>
      <w:numFmt w:val="bullet"/>
      <w:lvlText w:val="▪"/>
      <w:lvlJc w:val="left"/>
      <w:pPr>
        <w:ind w:left="6682" w:hanging="360"/>
      </w:pPr>
      <w:rPr>
        <w:rFonts w:ascii="Noto Sans Symbols" w:eastAsia="Noto Sans Symbols" w:hAnsi="Noto Sans Symbols" w:cs="Noto Sans Symbols"/>
      </w:rPr>
    </w:lvl>
  </w:abstractNum>
  <w:abstractNum w:abstractNumId="12" w15:restartNumberingAfterBreak="0">
    <w:nsid w:val="521B26CD"/>
    <w:multiLevelType w:val="multilevel"/>
    <w:tmpl w:val="96F84446"/>
    <w:lvl w:ilvl="0">
      <w:start w:val="1"/>
      <w:numFmt w:val="decimal"/>
      <w:lvlText w:val="%1."/>
      <w:lvlJc w:val="left"/>
      <w:pPr>
        <w:ind w:left="810" w:hanging="360"/>
      </w:pPr>
    </w:lvl>
    <w:lvl w:ilvl="1">
      <w:start w:val="1"/>
      <w:numFmt w:val="decimal"/>
      <w:lvlText w:val="%1.%2."/>
      <w:lvlJc w:val="left"/>
      <w:pPr>
        <w:ind w:left="1260" w:hanging="360"/>
      </w:pPr>
    </w:lvl>
    <w:lvl w:ilvl="2">
      <w:start w:val="1"/>
      <w:numFmt w:val="decimal"/>
      <w:lvlText w:val="%1.%2.%3."/>
      <w:lvlJc w:val="left"/>
      <w:pPr>
        <w:ind w:left="2070" w:hanging="720"/>
      </w:pPr>
    </w:lvl>
    <w:lvl w:ilvl="3">
      <w:start w:val="1"/>
      <w:numFmt w:val="decimal"/>
      <w:lvlText w:val="%1.%2.%3.%4."/>
      <w:lvlJc w:val="left"/>
      <w:pPr>
        <w:ind w:left="2520" w:hanging="720"/>
      </w:pPr>
    </w:lvl>
    <w:lvl w:ilvl="4">
      <w:start w:val="1"/>
      <w:numFmt w:val="decimal"/>
      <w:lvlText w:val="%1.%2.%3.%4.%5."/>
      <w:lvlJc w:val="left"/>
      <w:pPr>
        <w:ind w:left="3330" w:hanging="1080"/>
      </w:pPr>
    </w:lvl>
    <w:lvl w:ilvl="5">
      <w:start w:val="1"/>
      <w:numFmt w:val="decimal"/>
      <w:lvlText w:val="%1.%2.%3.%4.%5.%6."/>
      <w:lvlJc w:val="left"/>
      <w:pPr>
        <w:ind w:left="3780" w:hanging="1080"/>
      </w:pPr>
    </w:lvl>
    <w:lvl w:ilvl="6">
      <w:start w:val="1"/>
      <w:numFmt w:val="decimal"/>
      <w:lvlText w:val="%1.%2.%3.%4.%5.%6.%7."/>
      <w:lvlJc w:val="left"/>
      <w:pPr>
        <w:ind w:left="4230" w:hanging="1080"/>
      </w:pPr>
    </w:lvl>
    <w:lvl w:ilvl="7">
      <w:start w:val="1"/>
      <w:numFmt w:val="decimal"/>
      <w:lvlText w:val="%1.%2.%3.%4.%5.%6.%7.%8."/>
      <w:lvlJc w:val="left"/>
      <w:pPr>
        <w:ind w:left="5040" w:hanging="1440"/>
      </w:pPr>
    </w:lvl>
    <w:lvl w:ilvl="8">
      <w:start w:val="1"/>
      <w:numFmt w:val="decimal"/>
      <w:lvlText w:val="%1.%2.%3.%4.%5.%6.%7.%8.%9."/>
      <w:lvlJc w:val="left"/>
      <w:pPr>
        <w:ind w:left="5490" w:hanging="1440"/>
      </w:pPr>
    </w:lvl>
  </w:abstractNum>
  <w:abstractNum w:abstractNumId="13" w15:restartNumberingAfterBreak="0">
    <w:nsid w:val="5A8E453A"/>
    <w:multiLevelType w:val="multilevel"/>
    <w:tmpl w:val="EBA83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9EE23AC"/>
    <w:multiLevelType w:val="multilevel"/>
    <w:tmpl w:val="5CB2766C"/>
    <w:lvl w:ilvl="0">
      <w:start w:val="1"/>
      <w:numFmt w:val="bullet"/>
      <w:lvlText w:val="●"/>
      <w:lvlJc w:val="left"/>
      <w:pPr>
        <w:ind w:left="764" w:hanging="359"/>
      </w:pPr>
      <w:rPr>
        <w:rFonts w:ascii="Noto Sans Symbols" w:eastAsia="Noto Sans Symbols" w:hAnsi="Noto Sans Symbols" w:cs="Noto Sans Symbols"/>
      </w:r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15" w15:restartNumberingAfterBreak="0">
    <w:nsid w:val="6CBC29C0"/>
    <w:multiLevelType w:val="hybridMultilevel"/>
    <w:tmpl w:val="C9EC1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9103A1"/>
    <w:multiLevelType w:val="multilevel"/>
    <w:tmpl w:val="A9FEE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08446FA"/>
    <w:multiLevelType w:val="hybridMultilevel"/>
    <w:tmpl w:val="52D4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D585F"/>
    <w:multiLevelType w:val="multilevel"/>
    <w:tmpl w:val="F732E4A2"/>
    <w:lvl w:ilvl="0">
      <w:start w:val="1"/>
      <w:numFmt w:val="bullet"/>
      <w:lvlText w:val="●"/>
      <w:lvlJc w:val="left"/>
      <w:pPr>
        <w:ind w:left="376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1B877F3"/>
    <w:multiLevelType w:val="multilevel"/>
    <w:tmpl w:val="DB4A339C"/>
    <w:lvl w:ilvl="0">
      <w:start w:val="1"/>
      <w:numFmt w:val="decimal"/>
      <w:lvlText w:val="%1."/>
      <w:lvlJc w:val="left"/>
      <w:pPr>
        <w:ind w:left="810" w:hanging="360"/>
      </w:pPr>
    </w:lvl>
    <w:lvl w:ilvl="1">
      <w:start w:val="1"/>
      <w:numFmt w:val="decimal"/>
      <w:lvlText w:val="%1.%2."/>
      <w:lvlJc w:val="left"/>
      <w:pPr>
        <w:ind w:left="1260" w:hanging="360"/>
      </w:pPr>
    </w:lvl>
    <w:lvl w:ilvl="2">
      <w:start w:val="1"/>
      <w:numFmt w:val="decimal"/>
      <w:lvlText w:val="%1.%2.%3."/>
      <w:lvlJc w:val="left"/>
      <w:pPr>
        <w:ind w:left="2070" w:hanging="720"/>
      </w:pPr>
    </w:lvl>
    <w:lvl w:ilvl="3">
      <w:start w:val="1"/>
      <w:numFmt w:val="decimal"/>
      <w:lvlText w:val="%1.%2.%3.%4."/>
      <w:lvlJc w:val="left"/>
      <w:pPr>
        <w:ind w:left="2520" w:hanging="720"/>
      </w:pPr>
    </w:lvl>
    <w:lvl w:ilvl="4">
      <w:start w:val="1"/>
      <w:numFmt w:val="decimal"/>
      <w:lvlText w:val="%1.%2.%3.%4.%5."/>
      <w:lvlJc w:val="left"/>
      <w:pPr>
        <w:ind w:left="3330" w:hanging="1080"/>
      </w:pPr>
    </w:lvl>
    <w:lvl w:ilvl="5">
      <w:start w:val="1"/>
      <w:numFmt w:val="decimal"/>
      <w:lvlText w:val="%1.%2.%3.%4.%5.%6."/>
      <w:lvlJc w:val="left"/>
      <w:pPr>
        <w:ind w:left="3780" w:hanging="1080"/>
      </w:pPr>
    </w:lvl>
    <w:lvl w:ilvl="6">
      <w:start w:val="1"/>
      <w:numFmt w:val="decimal"/>
      <w:lvlText w:val="%1.%2.%3.%4.%5.%6.%7."/>
      <w:lvlJc w:val="left"/>
      <w:pPr>
        <w:ind w:left="4230" w:hanging="1080"/>
      </w:pPr>
    </w:lvl>
    <w:lvl w:ilvl="7">
      <w:start w:val="1"/>
      <w:numFmt w:val="decimal"/>
      <w:lvlText w:val="%1.%2.%3.%4.%5.%6.%7.%8."/>
      <w:lvlJc w:val="left"/>
      <w:pPr>
        <w:ind w:left="5040" w:hanging="1440"/>
      </w:pPr>
    </w:lvl>
    <w:lvl w:ilvl="8">
      <w:start w:val="1"/>
      <w:numFmt w:val="decimal"/>
      <w:lvlText w:val="%1.%2.%3.%4.%5.%6.%7.%8.%9."/>
      <w:lvlJc w:val="left"/>
      <w:pPr>
        <w:ind w:left="5490" w:hanging="1440"/>
      </w:pPr>
    </w:lvl>
  </w:abstractNum>
  <w:abstractNum w:abstractNumId="20" w15:restartNumberingAfterBreak="0">
    <w:nsid w:val="750D36D5"/>
    <w:multiLevelType w:val="hybridMultilevel"/>
    <w:tmpl w:val="8ECA7E8E"/>
    <w:lvl w:ilvl="0" w:tplc="B9F6BF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B7418"/>
    <w:multiLevelType w:val="multilevel"/>
    <w:tmpl w:val="10CCCE08"/>
    <w:lvl w:ilvl="0">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78E62FE"/>
    <w:multiLevelType w:val="hybridMultilevel"/>
    <w:tmpl w:val="F5A8D03A"/>
    <w:lvl w:ilvl="0" w:tplc="0409000F">
      <w:start w:val="1"/>
      <w:numFmt w:val="decimal"/>
      <w:lvlText w:val="%1."/>
      <w:lvlJc w:val="left"/>
      <w:pPr>
        <w:ind w:left="1073" w:hanging="360"/>
      </w:p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3" w15:restartNumberingAfterBreak="0">
    <w:nsid w:val="7D713048"/>
    <w:multiLevelType w:val="multilevel"/>
    <w:tmpl w:val="D2327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14"/>
  </w:num>
  <w:num w:numId="3">
    <w:abstractNumId w:val="12"/>
  </w:num>
  <w:num w:numId="4">
    <w:abstractNumId w:val="11"/>
  </w:num>
  <w:num w:numId="5">
    <w:abstractNumId w:val="19"/>
  </w:num>
  <w:num w:numId="6">
    <w:abstractNumId w:val="1"/>
  </w:num>
  <w:num w:numId="7">
    <w:abstractNumId w:val="10"/>
  </w:num>
  <w:num w:numId="8">
    <w:abstractNumId w:val="21"/>
  </w:num>
  <w:num w:numId="9">
    <w:abstractNumId w:val="9"/>
  </w:num>
  <w:num w:numId="10">
    <w:abstractNumId w:val="3"/>
  </w:num>
  <w:num w:numId="11">
    <w:abstractNumId w:val="13"/>
  </w:num>
  <w:num w:numId="12">
    <w:abstractNumId w:val="8"/>
  </w:num>
  <w:num w:numId="13">
    <w:abstractNumId w:val="18"/>
  </w:num>
  <w:num w:numId="14">
    <w:abstractNumId w:val="16"/>
  </w:num>
  <w:num w:numId="15">
    <w:abstractNumId w:val="0"/>
  </w:num>
  <w:num w:numId="16">
    <w:abstractNumId w:val="22"/>
  </w:num>
  <w:num w:numId="17">
    <w:abstractNumId w:val="7"/>
  </w:num>
  <w:num w:numId="18">
    <w:abstractNumId w:val="4"/>
  </w:num>
  <w:num w:numId="19">
    <w:abstractNumId w:val="5"/>
  </w:num>
  <w:num w:numId="20">
    <w:abstractNumId w:val="17"/>
  </w:num>
  <w:num w:numId="21">
    <w:abstractNumId w:val="20"/>
  </w:num>
  <w:num w:numId="22">
    <w:abstractNumId w:val="2"/>
  </w:num>
  <w:num w:numId="23">
    <w:abstractNumId w:val="1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91"/>
    <w:rsid w:val="00096CED"/>
    <w:rsid w:val="000B24E9"/>
    <w:rsid w:val="00220260"/>
    <w:rsid w:val="00300EED"/>
    <w:rsid w:val="00323895"/>
    <w:rsid w:val="00386726"/>
    <w:rsid w:val="003F1008"/>
    <w:rsid w:val="00412082"/>
    <w:rsid w:val="00462F46"/>
    <w:rsid w:val="004A52C0"/>
    <w:rsid w:val="007400F7"/>
    <w:rsid w:val="008302BD"/>
    <w:rsid w:val="00846091"/>
    <w:rsid w:val="008A45E8"/>
    <w:rsid w:val="008B13BE"/>
    <w:rsid w:val="00930EBC"/>
    <w:rsid w:val="009A7079"/>
    <w:rsid w:val="009E35AD"/>
    <w:rsid w:val="00A15B39"/>
    <w:rsid w:val="00A507FD"/>
    <w:rsid w:val="00B503CE"/>
    <w:rsid w:val="00C104DA"/>
    <w:rsid w:val="00C87BB7"/>
    <w:rsid w:val="00D22650"/>
    <w:rsid w:val="00EA15DC"/>
    <w:rsid w:val="00ED5A14"/>
    <w:rsid w:val="00EF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A710"/>
  <w15:docId w15:val="{9C9A64B6-D5FD-43B6-BE8F-DB64EBAC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8D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qFormat/>
    <w:rsid w:val="00E13665"/>
    <w:pPr>
      <w:ind w:left="720"/>
    </w:pPr>
    <w:rPr>
      <w:rFonts w:eastAsia="Times New Roman" w:cs="Times New Roman"/>
      <w:lang w:val="ru-RU"/>
    </w:rPr>
  </w:style>
  <w:style w:type="character" w:styleId="BookTitle">
    <w:name w:val="Book Title"/>
    <w:basedOn w:val="DefaultParagraphFont"/>
    <w:uiPriority w:val="99"/>
    <w:qFormat/>
    <w:rsid w:val="00E13665"/>
    <w:rPr>
      <w:b/>
      <w:bCs/>
      <w:smallCaps/>
      <w:spacing w:val="5"/>
    </w:rPr>
  </w:style>
  <w:style w:type="paragraph" w:customStyle="1" w:styleId="abzacixml">
    <w:name w:val="abzaci_xml"/>
    <w:basedOn w:val="PlainText"/>
    <w:uiPriority w:val="99"/>
    <w:rsid w:val="00741173"/>
    <w:pPr>
      <w:spacing w:after="200" w:line="276" w:lineRule="auto"/>
    </w:pPr>
    <w:rPr>
      <w:rFonts w:ascii="Courier New" w:hAnsi="Courier New" w:cs="Courier New"/>
      <w:sz w:val="20"/>
      <w:szCs w:val="20"/>
    </w:rPr>
  </w:style>
  <w:style w:type="paragraph" w:styleId="PlainText">
    <w:name w:val="Plain Text"/>
    <w:basedOn w:val="Normal"/>
    <w:link w:val="PlainTextChar"/>
    <w:uiPriority w:val="99"/>
    <w:semiHidden/>
    <w:unhideWhenUsed/>
    <w:rsid w:val="0074117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41173"/>
    <w:rPr>
      <w:rFonts w:ascii="Consolas" w:hAnsi="Consolas" w:cs="Consolas"/>
      <w:sz w:val="21"/>
      <w:szCs w:val="21"/>
    </w:rPr>
  </w:style>
  <w:style w:type="character" w:styleId="Strong">
    <w:name w:val="Strong"/>
    <w:uiPriority w:val="22"/>
    <w:qFormat/>
    <w:rsid w:val="003C30A3"/>
    <w:rPr>
      <w:b/>
      <w:bCs/>
    </w:rPr>
  </w:style>
  <w:style w:type="character" w:styleId="Hyperlink">
    <w:name w:val="Hyperlink"/>
    <w:basedOn w:val="DefaultParagraphFont"/>
    <w:uiPriority w:val="99"/>
    <w:unhideWhenUsed/>
    <w:rsid w:val="00A67782"/>
    <w:rPr>
      <w:color w:val="0000FF" w:themeColor="hyperlink"/>
      <w:u w:val="single"/>
    </w:rPr>
  </w:style>
  <w:style w:type="character" w:customStyle="1" w:styleId="hps">
    <w:name w:val="hps"/>
    <w:basedOn w:val="DefaultParagraphFont"/>
    <w:rsid w:val="00A67782"/>
  </w:style>
  <w:style w:type="character" w:styleId="Emphasis">
    <w:name w:val="Emphasis"/>
    <w:basedOn w:val="DefaultParagraphFont"/>
    <w:uiPriority w:val="20"/>
    <w:qFormat/>
    <w:rsid w:val="00A67782"/>
    <w:rPr>
      <w:i/>
      <w:iCs/>
    </w:rPr>
  </w:style>
  <w:style w:type="paragraph" w:styleId="BodyTextIndent">
    <w:name w:val="Body Text Indent"/>
    <w:basedOn w:val="Normal"/>
    <w:link w:val="BodyTextIndentChar"/>
    <w:uiPriority w:val="99"/>
    <w:semiHidden/>
    <w:unhideWhenUsed/>
    <w:rsid w:val="002F1463"/>
    <w:pPr>
      <w:spacing w:after="120"/>
      <w:ind w:left="360"/>
    </w:pPr>
  </w:style>
  <w:style w:type="character" w:customStyle="1" w:styleId="BodyTextIndentChar">
    <w:name w:val="Body Text Indent Char"/>
    <w:basedOn w:val="DefaultParagraphFont"/>
    <w:link w:val="BodyTextIndent"/>
    <w:uiPriority w:val="99"/>
    <w:semiHidden/>
    <w:rsid w:val="002F1463"/>
  </w:style>
  <w:style w:type="table" w:styleId="TableGrid">
    <w:name w:val="Table Grid"/>
    <w:basedOn w:val="TableNormal"/>
    <w:uiPriority w:val="39"/>
    <w:rsid w:val="00253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0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D9C"/>
    <w:rPr>
      <w:rFonts w:ascii="Segoe UI" w:hAnsi="Segoe UI" w:cs="Segoe UI"/>
      <w:sz w:val="18"/>
      <w:szCs w:val="18"/>
    </w:rPr>
  </w:style>
  <w:style w:type="paragraph" w:styleId="Header">
    <w:name w:val="header"/>
    <w:basedOn w:val="Normal"/>
    <w:link w:val="HeaderChar"/>
    <w:uiPriority w:val="99"/>
    <w:unhideWhenUsed/>
    <w:rsid w:val="005F5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01"/>
  </w:style>
  <w:style w:type="paragraph" w:styleId="Footer">
    <w:name w:val="footer"/>
    <w:basedOn w:val="Normal"/>
    <w:link w:val="FooterChar"/>
    <w:uiPriority w:val="99"/>
    <w:unhideWhenUsed/>
    <w:rsid w:val="005F5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01"/>
  </w:style>
  <w:style w:type="paragraph" w:styleId="NormalWeb">
    <w:name w:val="Normal (Web)"/>
    <w:basedOn w:val="Normal"/>
    <w:uiPriority w:val="99"/>
    <w:rsid w:val="003253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CB1C97"/>
    <w:pPr>
      <w:spacing w:after="0" w:line="240" w:lineRule="auto"/>
    </w:pPr>
  </w:style>
  <w:style w:type="character" w:customStyle="1" w:styleId="ListParagraphChar">
    <w:name w:val="List Paragraph Char"/>
    <w:link w:val="ListParagraph"/>
    <w:qFormat/>
    <w:locked/>
    <w:rsid w:val="00E31B93"/>
    <w:rPr>
      <w:rFonts w:ascii="Calibri" w:eastAsia="Times New Roman" w:hAnsi="Calibri" w:cs="Times New Roman"/>
      <w:lang w:val="ru-RU"/>
    </w:rPr>
  </w:style>
  <w:style w:type="character" w:styleId="CommentReference">
    <w:name w:val="annotation reference"/>
    <w:basedOn w:val="DefaultParagraphFont"/>
    <w:uiPriority w:val="99"/>
    <w:semiHidden/>
    <w:unhideWhenUsed/>
    <w:rsid w:val="00305D20"/>
    <w:rPr>
      <w:sz w:val="16"/>
      <w:szCs w:val="16"/>
    </w:rPr>
  </w:style>
  <w:style w:type="paragraph" w:styleId="CommentText">
    <w:name w:val="annotation text"/>
    <w:basedOn w:val="Normal"/>
    <w:link w:val="CommentTextChar"/>
    <w:uiPriority w:val="99"/>
    <w:semiHidden/>
    <w:unhideWhenUsed/>
    <w:rsid w:val="00305D20"/>
    <w:pPr>
      <w:spacing w:line="240" w:lineRule="auto"/>
    </w:pPr>
    <w:rPr>
      <w:sz w:val="20"/>
      <w:szCs w:val="20"/>
    </w:rPr>
  </w:style>
  <w:style w:type="character" w:customStyle="1" w:styleId="CommentTextChar">
    <w:name w:val="Comment Text Char"/>
    <w:basedOn w:val="DefaultParagraphFont"/>
    <w:link w:val="CommentText"/>
    <w:uiPriority w:val="99"/>
    <w:semiHidden/>
    <w:rsid w:val="00305D20"/>
    <w:rPr>
      <w:sz w:val="20"/>
      <w:szCs w:val="20"/>
    </w:rPr>
  </w:style>
  <w:style w:type="paragraph" w:styleId="CommentSubject">
    <w:name w:val="annotation subject"/>
    <w:basedOn w:val="CommentText"/>
    <w:next w:val="CommentText"/>
    <w:link w:val="CommentSubjectChar"/>
    <w:uiPriority w:val="99"/>
    <w:semiHidden/>
    <w:unhideWhenUsed/>
    <w:rsid w:val="00305D20"/>
    <w:rPr>
      <w:b/>
      <w:bCs/>
    </w:rPr>
  </w:style>
  <w:style w:type="character" w:customStyle="1" w:styleId="CommentSubjectChar">
    <w:name w:val="Comment Subject Char"/>
    <w:basedOn w:val="CommentTextChar"/>
    <w:link w:val="CommentSubject"/>
    <w:uiPriority w:val="99"/>
    <w:semiHidden/>
    <w:rsid w:val="00305D20"/>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YSG+EPbIP9NyU31noPZitG07w==">AMUW2mV8egT+l78TKwq7UnccStzien2RUSsBEI4CwbLwNQqrUIT8bPbHCYMEh9+hFT7uNQhZeZN2N6r7P+1JT2PNfrDMwlrnx2X6FeQjJfjUMMDH/W431N5YjDAJBsHh4LeDp0Udi/9+v9zRSx1JK/IQBnvrmtAU91PQU1JZzMj6qskrJgdfREwCOR/YSTlOpzyIWLjO0cppaTTkOICSBH+L4ZSzg/1l7wlYv49/WdrhExT52s1iJHg=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Ana PAGAVA</cp:lastModifiedBy>
  <cp:revision>17</cp:revision>
  <dcterms:created xsi:type="dcterms:W3CDTF">2014-08-21T22:12:00Z</dcterms:created>
  <dcterms:modified xsi:type="dcterms:W3CDTF">2024-08-26T13:27:00Z</dcterms:modified>
</cp:coreProperties>
</file>